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highlight w:val="green"/>
        </w:rPr>
      </w:pPr>
      <w:r w:rsidDel="00000000" w:rsidR="00000000" w:rsidRPr="00000000">
        <w:rPr>
          <w:b w:val="1"/>
          <w:sz w:val="30"/>
          <w:szCs w:val="30"/>
          <w:highlight w:val="green"/>
          <w:rtl w:val="0"/>
        </w:rPr>
        <w:t xml:space="preserve">M.Ed Tutor Ward 17 -19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3795"/>
        <w:gridCol w:w="4620"/>
        <w:tblGridChange w:id="0">
          <w:tblGrid>
            <w:gridCol w:w="945"/>
            <w:gridCol w:w="3795"/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Sl.No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Ward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Tutor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Akshaya P Sunil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M Jesa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Amina Radeeah V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Fathima Jaseena MPM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Anjusha  A M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K. Vijayakumari, Dr. Aseel Adbul Wahid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Anusree Prem N K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Jouhar Munavvir T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Baby Shifa U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P.P. Noushad, Mrs. Irshana Shanaz U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Ganisha T V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Niranjana K P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 Alphonsa Thomas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P. Rekha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Neethu C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Umer Farooque T K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Nikhil Kumar K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Hassankoya  M P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Raheesa Farsana N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Dr, Anees Mohammed C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Rukiyabi Juvairiyath K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Manoj Praveen C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Sharun P B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Afeef Tharavattath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Shobi P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Mumthas N S</w:t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Surabhila T R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Mohamed Saleem T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